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2F956" w14:textId="15613977" w:rsidR="0095087B" w:rsidRPr="008D6063" w:rsidRDefault="0095087B" w:rsidP="00CE16E2">
      <w:pPr>
        <w:jc w:val="center"/>
        <w:rPr>
          <w:b/>
          <w:bCs/>
          <w:noProof/>
          <w:u w:val="single"/>
        </w:rPr>
      </w:pPr>
      <w:r w:rsidRPr="008D6063">
        <w:rPr>
          <w:b/>
          <w:bCs/>
          <w:noProof/>
          <w:u w:val="single"/>
        </w:rPr>
        <w:t>CARE Respond to CoViD 19 in Georgia and Coordination with Georgian Government and Donor Organizations</w:t>
      </w:r>
    </w:p>
    <w:tbl>
      <w:tblPr>
        <w:tblStyle w:val="Mkatabulky"/>
        <w:tblW w:w="0" w:type="auto"/>
        <w:jc w:val="center"/>
        <w:tblLook w:val="04A0" w:firstRow="1" w:lastRow="0" w:firstColumn="1" w:lastColumn="0" w:noHBand="0" w:noVBand="1"/>
      </w:tblPr>
      <w:tblGrid>
        <w:gridCol w:w="1417"/>
        <w:gridCol w:w="3888"/>
        <w:gridCol w:w="6930"/>
        <w:gridCol w:w="761"/>
      </w:tblGrid>
      <w:tr w:rsidR="008046AC" w:rsidRPr="008D6063" w14:paraId="391C1189" w14:textId="77777777" w:rsidTr="00475485">
        <w:trPr>
          <w:jc w:val="center"/>
        </w:trPr>
        <w:tc>
          <w:tcPr>
            <w:tcW w:w="1417" w:type="dxa"/>
            <w:vAlign w:val="center"/>
          </w:tcPr>
          <w:p w14:paraId="55141E86" w14:textId="77777777" w:rsidR="008046AC" w:rsidRPr="008D6063" w:rsidRDefault="008046AC" w:rsidP="008046AC">
            <w:pPr>
              <w:jc w:val="center"/>
              <w:rPr>
                <w:rFonts w:ascii="Arial" w:hAnsi="Arial" w:cs="Arial"/>
                <w:b/>
                <w:bCs/>
                <w:noProof/>
                <w:sz w:val="18"/>
                <w:szCs w:val="18"/>
              </w:rPr>
            </w:pPr>
            <w:r w:rsidRPr="008D6063">
              <w:rPr>
                <w:rFonts w:ascii="Arial" w:hAnsi="Arial" w:cs="Arial"/>
                <w:b/>
                <w:bCs/>
                <w:noProof/>
                <w:sz w:val="18"/>
                <w:szCs w:val="18"/>
              </w:rPr>
              <w:t>Agencies &amp; Government departments</w:t>
            </w:r>
          </w:p>
        </w:tc>
        <w:tc>
          <w:tcPr>
            <w:tcW w:w="3888" w:type="dxa"/>
            <w:vAlign w:val="center"/>
          </w:tcPr>
          <w:p w14:paraId="7FE3E30D" w14:textId="77777777" w:rsidR="008046AC" w:rsidRPr="008D6063" w:rsidRDefault="008046AC" w:rsidP="008046AC">
            <w:pPr>
              <w:jc w:val="center"/>
              <w:rPr>
                <w:rFonts w:ascii="Arial" w:hAnsi="Arial" w:cs="Arial"/>
                <w:b/>
                <w:bCs/>
                <w:noProof/>
                <w:sz w:val="20"/>
                <w:szCs w:val="20"/>
              </w:rPr>
            </w:pPr>
            <w:r w:rsidRPr="008D6063">
              <w:rPr>
                <w:rFonts w:ascii="Arial" w:hAnsi="Arial" w:cs="Arial"/>
                <w:b/>
                <w:bCs/>
                <w:noProof/>
                <w:sz w:val="20"/>
                <w:szCs w:val="20"/>
              </w:rPr>
              <w:t>Needs / material needs &amp; Requirements</w:t>
            </w:r>
          </w:p>
        </w:tc>
        <w:tc>
          <w:tcPr>
            <w:tcW w:w="6930" w:type="dxa"/>
            <w:vAlign w:val="center"/>
          </w:tcPr>
          <w:p w14:paraId="648A6AE6" w14:textId="77777777" w:rsidR="008046AC" w:rsidRPr="008D6063" w:rsidRDefault="008046AC" w:rsidP="008046AC">
            <w:pPr>
              <w:jc w:val="center"/>
              <w:rPr>
                <w:rFonts w:ascii="Arial" w:hAnsi="Arial" w:cs="Arial"/>
                <w:b/>
                <w:bCs/>
                <w:noProof/>
                <w:sz w:val="20"/>
                <w:szCs w:val="20"/>
              </w:rPr>
            </w:pPr>
            <w:r w:rsidRPr="008D6063">
              <w:rPr>
                <w:rFonts w:ascii="Arial" w:hAnsi="Arial" w:cs="Arial"/>
                <w:b/>
                <w:bCs/>
                <w:noProof/>
                <w:sz w:val="20"/>
                <w:szCs w:val="20"/>
              </w:rPr>
              <w:t>Project respond &amp; coordination</w:t>
            </w:r>
          </w:p>
        </w:tc>
        <w:tc>
          <w:tcPr>
            <w:tcW w:w="761" w:type="dxa"/>
            <w:vAlign w:val="center"/>
          </w:tcPr>
          <w:p w14:paraId="2D33D917" w14:textId="77777777" w:rsidR="008046AC" w:rsidRPr="008D6063" w:rsidRDefault="00530B39" w:rsidP="008046AC">
            <w:pPr>
              <w:jc w:val="center"/>
              <w:rPr>
                <w:rFonts w:ascii="Arial" w:hAnsi="Arial" w:cs="Arial"/>
                <w:b/>
                <w:bCs/>
                <w:noProof/>
                <w:sz w:val="20"/>
                <w:szCs w:val="20"/>
              </w:rPr>
            </w:pPr>
            <w:r w:rsidRPr="008D6063">
              <w:rPr>
                <w:rFonts w:ascii="Arial" w:hAnsi="Arial" w:cs="Arial"/>
                <w:b/>
                <w:bCs/>
                <w:noProof/>
                <w:sz w:val="20"/>
                <w:szCs w:val="20"/>
              </w:rPr>
              <w:t>Table line</w:t>
            </w:r>
          </w:p>
        </w:tc>
      </w:tr>
      <w:tr w:rsidR="00530B39" w:rsidRPr="008D6063" w14:paraId="673DFB5C" w14:textId="77777777" w:rsidTr="00475485">
        <w:trPr>
          <w:trHeight w:val="2083"/>
          <w:jc w:val="center"/>
        </w:trPr>
        <w:tc>
          <w:tcPr>
            <w:tcW w:w="1417" w:type="dxa"/>
            <w:vMerge w:val="restart"/>
            <w:vAlign w:val="center"/>
          </w:tcPr>
          <w:p w14:paraId="04D987DE" w14:textId="77777777" w:rsidR="00530B39" w:rsidRPr="008D6063" w:rsidRDefault="00530B39" w:rsidP="003E69EE">
            <w:pPr>
              <w:jc w:val="center"/>
              <w:rPr>
                <w:b/>
                <w:bCs/>
                <w:noProof/>
                <w:sz w:val="20"/>
                <w:szCs w:val="20"/>
              </w:rPr>
            </w:pPr>
            <w:r w:rsidRPr="008D6063">
              <w:rPr>
                <w:b/>
                <w:bCs/>
                <w:noProof/>
                <w:sz w:val="20"/>
                <w:szCs w:val="20"/>
              </w:rPr>
              <w:t>Ministry of Health</w:t>
            </w:r>
          </w:p>
        </w:tc>
        <w:tc>
          <w:tcPr>
            <w:tcW w:w="3888" w:type="dxa"/>
            <w:vAlign w:val="center"/>
          </w:tcPr>
          <w:p w14:paraId="283E13FC" w14:textId="5362DF57" w:rsidR="00530B39" w:rsidRPr="008D6063" w:rsidRDefault="0095087B" w:rsidP="0062450B">
            <w:pPr>
              <w:jc w:val="both"/>
              <w:rPr>
                <w:noProof/>
                <w:sz w:val="18"/>
                <w:szCs w:val="18"/>
              </w:rPr>
            </w:pPr>
            <w:r w:rsidRPr="008D6063">
              <w:rPr>
                <w:noProof/>
                <w:sz w:val="18"/>
                <w:szCs w:val="18"/>
              </w:rPr>
              <w:t xml:space="preserve">Full </w:t>
            </w:r>
            <w:r w:rsidR="00B069AD" w:rsidRPr="008D6063">
              <w:rPr>
                <w:b/>
                <w:bCs/>
                <w:noProof/>
                <w:sz w:val="18"/>
                <w:szCs w:val="18"/>
              </w:rPr>
              <w:t xml:space="preserve">medical </w:t>
            </w:r>
            <w:r w:rsidR="003E69EE" w:rsidRPr="008D6063">
              <w:rPr>
                <w:b/>
                <w:bCs/>
                <w:noProof/>
                <w:sz w:val="18"/>
                <w:szCs w:val="18"/>
              </w:rPr>
              <w:t xml:space="preserve">PPE </w:t>
            </w:r>
            <w:r w:rsidRPr="008D6063">
              <w:rPr>
                <w:b/>
                <w:bCs/>
                <w:noProof/>
                <w:sz w:val="18"/>
                <w:szCs w:val="18"/>
              </w:rPr>
              <w:t>kit</w:t>
            </w:r>
            <w:r w:rsidRPr="008D6063">
              <w:rPr>
                <w:noProof/>
                <w:sz w:val="18"/>
                <w:szCs w:val="18"/>
              </w:rPr>
              <w:t xml:space="preserve"> </w:t>
            </w:r>
            <w:r w:rsidR="003E69EE" w:rsidRPr="008D6063">
              <w:rPr>
                <w:noProof/>
                <w:sz w:val="18"/>
                <w:szCs w:val="18"/>
              </w:rPr>
              <w:t xml:space="preserve">including </w:t>
            </w:r>
            <w:r w:rsidR="00585A1D" w:rsidRPr="008D6063">
              <w:rPr>
                <w:noProof/>
                <w:sz w:val="18"/>
                <w:szCs w:val="18"/>
              </w:rPr>
              <w:t xml:space="preserve">respiratory masks FFP2/N95, medical masks, </w:t>
            </w:r>
            <w:r w:rsidR="0017433A" w:rsidRPr="008D6063">
              <w:rPr>
                <w:noProof/>
                <w:sz w:val="18"/>
                <w:szCs w:val="18"/>
              </w:rPr>
              <w:t>protection gaggles, protection sh</w:t>
            </w:r>
            <w:r w:rsidR="00B069AD" w:rsidRPr="008D6063">
              <w:rPr>
                <w:noProof/>
                <w:sz w:val="18"/>
                <w:szCs w:val="18"/>
              </w:rPr>
              <w:t>ie</w:t>
            </w:r>
            <w:r w:rsidR="0017433A" w:rsidRPr="008D6063">
              <w:rPr>
                <w:noProof/>
                <w:sz w:val="18"/>
                <w:szCs w:val="18"/>
              </w:rPr>
              <w:t>lds, protection g</w:t>
            </w:r>
            <w:r w:rsidR="00FA3DD5" w:rsidRPr="008D6063">
              <w:rPr>
                <w:noProof/>
                <w:sz w:val="18"/>
                <w:szCs w:val="18"/>
              </w:rPr>
              <w:t>lows/</w:t>
            </w:r>
            <w:r w:rsidR="00B069AD" w:rsidRPr="008D6063">
              <w:rPr>
                <w:noProof/>
                <w:sz w:val="18"/>
                <w:szCs w:val="18"/>
              </w:rPr>
              <w:t xml:space="preserve">nitrile gloves, </w:t>
            </w:r>
            <w:r w:rsidR="00EA40D6" w:rsidRPr="008D6063">
              <w:rPr>
                <w:noProof/>
                <w:sz w:val="18"/>
                <w:szCs w:val="18"/>
              </w:rPr>
              <w:t>protection suit (Hamzat suit)</w:t>
            </w:r>
            <w:r w:rsidR="00B718DF" w:rsidRPr="008D6063">
              <w:rPr>
                <w:noProof/>
                <w:sz w:val="18"/>
                <w:szCs w:val="18"/>
              </w:rPr>
              <w:t>.</w:t>
            </w:r>
          </w:p>
        </w:tc>
        <w:tc>
          <w:tcPr>
            <w:tcW w:w="6930" w:type="dxa"/>
            <w:vMerge w:val="restart"/>
            <w:vAlign w:val="center"/>
          </w:tcPr>
          <w:p w14:paraId="70917732" w14:textId="77777777" w:rsidR="00530B39" w:rsidRPr="008D6063" w:rsidRDefault="00530B39" w:rsidP="008046AC">
            <w:pPr>
              <w:rPr>
                <w:noProof/>
                <w:sz w:val="18"/>
                <w:szCs w:val="18"/>
              </w:rPr>
            </w:pPr>
          </w:p>
          <w:p w14:paraId="1796B267" w14:textId="0764B093" w:rsidR="00530B39" w:rsidRPr="008D6063" w:rsidRDefault="00530B39" w:rsidP="00035134">
            <w:pPr>
              <w:jc w:val="both"/>
              <w:rPr>
                <w:noProof/>
                <w:sz w:val="18"/>
                <w:szCs w:val="18"/>
              </w:rPr>
            </w:pPr>
            <w:r w:rsidRPr="008D6063">
              <w:rPr>
                <w:noProof/>
                <w:sz w:val="18"/>
                <w:szCs w:val="18"/>
              </w:rPr>
              <w:t xml:space="preserve">The project contributes to the specified needs for material assistance listed by </w:t>
            </w:r>
            <w:r w:rsidR="00EA40D6" w:rsidRPr="008D6063">
              <w:rPr>
                <w:noProof/>
                <w:sz w:val="18"/>
                <w:szCs w:val="18"/>
              </w:rPr>
              <w:t>MoH of Georgia</w:t>
            </w:r>
            <w:r w:rsidRPr="008D6063">
              <w:rPr>
                <w:noProof/>
                <w:sz w:val="18"/>
                <w:szCs w:val="18"/>
              </w:rPr>
              <w:t xml:space="preserve">. For provision of materials, the project will closely cooperate with Ministry of Health, as well as with regional government representatives and Medalpha hospital management. Upon the approval of the project, we will contact Ms.Tamar Gabunia at MoH to inform about our contribution to the specified needs of MoH in the selected regions, and confirm the project distribution plan. Based on the pre-assessment of necessities and confirmed needs by the regional governments and Medalpha </w:t>
            </w:r>
            <w:r w:rsidR="00046136" w:rsidRPr="008D6063">
              <w:rPr>
                <w:noProof/>
                <w:sz w:val="18"/>
                <w:szCs w:val="18"/>
              </w:rPr>
              <w:t xml:space="preserve">regional referral </w:t>
            </w:r>
            <w:r w:rsidRPr="008D6063">
              <w:rPr>
                <w:noProof/>
                <w:sz w:val="18"/>
                <w:szCs w:val="18"/>
              </w:rPr>
              <w:t xml:space="preserve">network by Georgian Medical Group, the project envisages provision of  Hazmat suits (300) 3 layered face masks (2200), </w:t>
            </w:r>
            <w:r w:rsidR="00BB607B" w:rsidRPr="008D6063">
              <w:rPr>
                <w:noProof/>
                <w:sz w:val="18"/>
                <w:szCs w:val="18"/>
              </w:rPr>
              <w:t>nitrile</w:t>
            </w:r>
            <w:r w:rsidRPr="008D6063">
              <w:rPr>
                <w:noProof/>
                <w:sz w:val="18"/>
                <w:szCs w:val="18"/>
              </w:rPr>
              <w:t xml:space="preserve"> gloves (2200 packages, 220,000pairs of gloves) ,goggle type of glasses (2200),sanitizer dispensers (2200 items). Additionally, the project </w:t>
            </w:r>
            <w:r w:rsidR="00EB3E5B" w:rsidRPr="008D6063">
              <w:rPr>
                <w:noProof/>
                <w:sz w:val="18"/>
                <w:szCs w:val="18"/>
              </w:rPr>
              <w:t>ha</w:t>
            </w:r>
            <w:r w:rsidR="0078150D" w:rsidRPr="008D6063">
              <w:rPr>
                <w:noProof/>
                <w:sz w:val="18"/>
                <w:szCs w:val="18"/>
              </w:rPr>
              <w:t>s</w:t>
            </w:r>
            <w:r w:rsidR="00EB3E5B" w:rsidRPr="008D6063">
              <w:rPr>
                <w:noProof/>
                <w:sz w:val="18"/>
                <w:szCs w:val="18"/>
              </w:rPr>
              <w:t xml:space="preserve"> </w:t>
            </w:r>
            <w:r w:rsidRPr="008D6063">
              <w:rPr>
                <w:noProof/>
                <w:sz w:val="18"/>
                <w:szCs w:val="18"/>
              </w:rPr>
              <w:t xml:space="preserve">closely communicated with </w:t>
            </w:r>
            <w:r w:rsidR="00EB3E5B" w:rsidRPr="008D6063">
              <w:rPr>
                <w:noProof/>
                <w:sz w:val="18"/>
                <w:szCs w:val="18"/>
              </w:rPr>
              <w:t xml:space="preserve">Mr. </w:t>
            </w:r>
            <w:r w:rsidRPr="008D6063">
              <w:rPr>
                <w:noProof/>
                <w:sz w:val="18"/>
                <w:szCs w:val="18"/>
              </w:rPr>
              <w:t xml:space="preserve">Nino Nizharadze, </w:t>
            </w:r>
            <w:r w:rsidR="0062450B" w:rsidRPr="008D6063">
              <w:rPr>
                <w:noProof/>
                <w:sz w:val="18"/>
                <w:szCs w:val="18"/>
              </w:rPr>
              <w:t>D</w:t>
            </w:r>
            <w:r w:rsidRPr="008D6063">
              <w:rPr>
                <w:noProof/>
                <w:sz w:val="18"/>
                <w:szCs w:val="18"/>
              </w:rPr>
              <w:t xml:space="preserve">eputy </w:t>
            </w:r>
            <w:r w:rsidR="0062450B" w:rsidRPr="008D6063">
              <w:rPr>
                <w:noProof/>
                <w:sz w:val="18"/>
                <w:szCs w:val="18"/>
              </w:rPr>
              <w:t>m</w:t>
            </w:r>
            <w:r w:rsidRPr="008D6063">
              <w:rPr>
                <w:noProof/>
                <w:sz w:val="18"/>
                <w:szCs w:val="18"/>
              </w:rPr>
              <w:t>inister of Adjara region, and it revealed the needs for public health center of Adjara to receive the material assistance as well.</w:t>
            </w:r>
          </w:p>
          <w:p w14:paraId="0B46C900" w14:textId="77777777" w:rsidR="00530B39" w:rsidRPr="008D6063" w:rsidRDefault="00530B39">
            <w:pPr>
              <w:rPr>
                <w:noProof/>
              </w:rPr>
            </w:pPr>
          </w:p>
        </w:tc>
        <w:tc>
          <w:tcPr>
            <w:tcW w:w="761" w:type="dxa"/>
            <w:vAlign w:val="center"/>
          </w:tcPr>
          <w:p w14:paraId="3599C597" w14:textId="77777777" w:rsidR="00530B39" w:rsidRPr="008D6063" w:rsidRDefault="00530B39">
            <w:pPr>
              <w:rPr>
                <w:noProof/>
              </w:rPr>
            </w:pPr>
          </w:p>
        </w:tc>
      </w:tr>
      <w:tr w:rsidR="00530B39" w:rsidRPr="008D6063" w14:paraId="004A94D9" w14:textId="77777777" w:rsidTr="00475485">
        <w:trPr>
          <w:jc w:val="center"/>
        </w:trPr>
        <w:tc>
          <w:tcPr>
            <w:tcW w:w="1417" w:type="dxa"/>
            <w:vMerge/>
            <w:vAlign w:val="center"/>
          </w:tcPr>
          <w:p w14:paraId="4FE0D987" w14:textId="77777777" w:rsidR="00530B39" w:rsidRPr="008D6063" w:rsidRDefault="00530B39" w:rsidP="003E69EE">
            <w:pPr>
              <w:jc w:val="center"/>
              <w:rPr>
                <w:b/>
                <w:bCs/>
                <w:noProof/>
                <w:sz w:val="20"/>
                <w:szCs w:val="20"/>
              </w:rPr>
            </w:pPr>
          </w:p>
        </w:tc>
        <w:tc>
          <w:tcPr>
            <w:tcW w:w="3888" w:type="dxa"/>
            <w:vAlign w:val="center"/>
          </w:tcPr>
          <w:p w14:paraId="0005F979" w14:textId="77777777" w:rsidR="00530B39" w:rsidRPr="008D6063" w:rsidRDefault="00530B39" w:rsidP="00530B39">
            <w:pPr>
              <w:rPr>
                <w:noProof/>
                <w:sz w:val="18"/>
                <w:szCs w:val="18"/>
              </w:rPr>
            </w:pPr>
            <w:r w:rsidRPr="008D6063">
              <w:rPr>
                <w:noProof/>
                <w:sz w:val="18"/>
                <w:szCs w:val="18"/>
              </w:rPr>
              <w:t>3-layer face mask</w:t>
            </w:r>
          </w:p>
        </w:tc>
        <w:tc>
          <w:tcPr>
            <w:tcW w:w="6930" w:type="dxa"/>
            <w:vMerge/>
            <w:vAlign w:val="center"/>
          </w:tcPr>
          <w:p w14:paraId="004039E1" w14:textId="77777777" w:rsidR="00530B39" w:rsidRPr="008D6063" w:rsidRDefault="00530B39" w:rsidP="00530B39">
            <w:pPr>
              <w:rPr>
                <w:noProof/>
              </w:rPr>
            </w:pPr>
          </w:p>
        </w:tc>
        <w:tc>
          <w:tcPr>
            <w:tcW w:w="761" w:type="dxa"/>
            <w:vAlign w:val="center"/>
          </w:tcPr>
          <w:p w14:paraId="3AF91294" w14:textId="77777777" w:rsidR="00530B39" w:rsidRPr="008D6063" w:rsidRDefault="00530B39" w:rsidP="00BB607B">
            <w:pPr>
              <w:jc w:val="center"/>
              <w:rPr>
                <w:b/>
                <w:bCs/>
                <w:noProof/>
                <w:sz w:val="20"/>
                <w:szCs w:val="20"/>
              </w:rPr>
            </w:pPr>
            <w:r w:rsidRPr="008D6063">
              <w:rPr>
                <w:b/>
                <w:bCs/>
                <w:noProof/>
                <w:sz w:val="20"/>
                <w:szCs w:val="20"/>
              </w:rPr>
              <w:t>3</w:t>
            </w:r>
          </w:p>
        </w:tc>
      </w:tr>
      <w:tr w:rsidR="009C2EA3" w:rsidRPr="008D6063" w14:paraId="2A3AA059" w14:textId="77777777" w:rsidTr="00475485">
        <w:trPr>
          <w:trHeight w:val="256"/>
          <w:jc w:val="center"/>
        </w:trPr>
        <w:tc>
          <w:tcPr>
            <w:tcW w:w="1417" w:type="dxa"/>
            <w:vMerge/>
            <w:vAlign w:val="center"/>
          </w:tcPr>
          <w:p w14:paraId="483D0885" w14:textId="77777777" w:rsidR="009C2EA3" w:rsidRPr="008D6063" w:rsidRDefault="009C2EA3" w:rsidP="003E69EE">
            <w:pPr>
              <w:jc w:val="center"/>
              <w:rPr>
                <w:b/>
                <w:bCs/>
                <w:noProof/>
                <w:sz w:val="20"/>
                <w:szCs w:val="20"/>
              </w:rPr>
            </w:pPr>
          </w:p>
        </w:tc>
        <w:tc>
          <w:tcPr>
            <w:tcW w:w="3888" w:type="dxa"/>
            <w:vMerge w:val="restart"/>
            <w:vAlign w:val="center"/>
          </w:tcPr>
          <w:p w14:paraId="687CBF4A" w14:textId="77777777" w:rsidR="009C2EA3" w:rsidRPr="008D6063" w:rsidRDefault="009C2EA3" w:rsidP="00530B39">
            <w:pPr>
              <w:rPr>
                <w:noProof/>
                <w:sz w:val="18"/>
                <w:szCs w:val="18"/>
              </w:rPr>
            </w:pPr>
            <w:r w:rsidRPr="008D6063">
              <w:rPr>
                <w:rFonts w:ascii="Calibri" w:eastAsia="Times New Roman" w:hAnsi="Calibri" w:cs="Calibri"/>
                <w:noProof/>
                <w:color w:val="000000"/>
                <w:sz w:val="18"/>
                <w:szCs w:val="18"/>
              </w:rPr>
              <w:t>Sanitizer dispenser solution</w:t>
            </w:r>
          </w:p>
        </w:tc>
        <w:tc>
          <w:tcPr>
            <w:tcW w:w="6930" w:type="dxa"/>
            <w:vMerge/>
            <w:vAlign w:val="center"/>
          </w:tcPr>
          <w:p w14:paraId="14C37478" w14:textId="77777777" w:rsidR="009C2EA3" w:rsidRPr="008D6063" w:rsidRDefault="009C2EA3" w:rsidP="00530B39">
            <w:pPr>
              <w:rPr>
                <w:noProof/>
              </w:rPr>
            </w:pPr>
          </w:p>
        </w:tc>
        <w:tc>
          <w:tcPr>
            <w:tcW w:w="761" w:type="dxa"/>
            <w:vAlign w:val="center"/>
          </w:tcPr>
          <w:p w14:paraId="2957D95D" w14:textId="77777777" w:rsidR="009C2EA3" w:rsidRPr="008D6063" w:rsidRDefault="009C2EA3" w:rsidP="00BB607B">
            <w:pPr>
              <w:jc w:val="center"/>
              <w:rPr>
                <w:b/>
                <w:bCs/>
                <w:noProof/>
                <w:sz w:val="20"/>
                <w:szCs w:val="20"/>
              </w:rPr>
            </w:pPr>
            <w:r w:rsidRPr="008D6063">
              <w:rPr>
                <w:b/>
                <w:bCs/>
                <w:noProof/>
                <w:sz w:val="20"/>
                <w:szCs w:val="20"/>
              </w:rPr>
              <w:t>4</w:t>
            </w:r>
          </w:p>
        </w:tc>
      </w:tr>
      <w:tr w:rsidR="009C2EA3" w:rsidRPr="008D6063" w14:paraId="740E5220" w14:textId="77777777" w:rsidTr="002C57D7">
        <w:trPr>
          <w:trHeight w:val="359"/>
          <w:jc w:val="center"/>
        </w:trPr>
        <w:tc>
          <w:tcPr>
            <w:tcW w:w="1417" w:type="dxa"/>
            <w:vMerge/>
            <w:vAlign w:val="center"/>
          </w:tcPr>
          <w:p w14:paraId="26264ED3" w14:textId="77777777" w:rsidR="009C2EA3" w:rsidRPr="008D6063" w:rsidRDefault="009C2EA3" w:rsidP="003E69EE">
            <w:pPr>
              <w:jc w:val="center"/>
              <w:rPr>
                <w:b/>
                <w:bCs/>
                <w:noProof/>
                <w:sz w:val="20"/>
                <w:szCs w:val="20"/>
              </w:rPr>
            </w:pPr>
          </w:p>
        </w:tc>
        <w:tc>
          <w:tcPr>
            <w:tcW w:w="3888" w:type="dxa"/>
            <w:vMerge/>
            <w:vAlign w:val="center"/>
          </w:tcPr>
          <w:p w14:paraId="26AABBFC" w14:textId="6B7BE937" w:rsidR="009C2EA3" w:rsidRPr="008D6063" w:rsidRDefault="009C2EA3" w:rsidP="00530B39">
            <w:pPr>
              <w:rPr>
                <w:noProof/>
                <w:sz w:val="18"/>
                <w:szCs w:val="18"/>
              </w:rPr>
            </w:pPr>
          </w:p>
        </w:tc>
        <w:tc>
          <w:tcPr>
            <w:tcW w:w="6930" w:type="dxa"/>
            <w:vMerge/>
            <w:vAlign w:val="center"/>
          </w:tcPr>
          <w:p w14:paraId="7EFA8963" w14:textId="77777777" w:rsidR="009C2EA3" w:rsidRPr="008D6063" w:rsidRDefault="009C2EA3" w:rsidP="00530B39">
            <w:pPr>
              <w:rPr>
                <w:noProof/>
              </w:rPr>
            </w:pPr>
          </w:p>
        </w:tc>
        <w:tc>
          <w:tcPr>
            <w:tcW w:w="761" w:type="dxa"/>
            <w:vAlign w:val="center"/>
          </w:tcPr>
          <w:p w14:paraId="6C7588CF" w14:textId="77777777" w:rsidR="009C2EA3" w:rsidRPr="008D6063" w:rsidRDefault="009C2EA3" w:rsidP="00BB607B">
            <w:pPr>
              <w:jc w:val="center"/>
              <w:rPr>
                <w:b/>
                <w:bCs/>
                <w:noProof/>
                <w:sz w:val="20"/>
                <w:szCs w:val="20"/>
              </w:rPr>
            </w:pPr>
            <w:r w:rsidRPr="008D6063">
              <w:rPr>
                <w:b/>
                <w:bCs/>
                <w:noProof/>
                <w:sz w:val="20"/>
                <w:szCs w:val="20"/>
              </w:rPr>
              <w:t>5</w:t>
            </w:r>
          </w:p>
        </w:tc>
      </w:tr>
      <w:tr w:rsidR="00530B39" w:rsidRPr="008D6063" w14:paraId="152BB351" w14:textId="77777777" w:rsidTr="00475485">
        <w:trPr>
          <w:jc w:val="center"/>
        </w:trPr>
        <w:tc>
          <w:tcPr>
            <w:tcW w:w="1417" w:type="dxa"/>
            <w:vMerge/>
            <w:vAlign w:val="center"/>
          </w:tcPr>
          <w:p w14:paraId="6471893D" w14:textId="77777777" w:rsidR="00530B39" w:rsidRPr="008D6063" w:rsidRDefault="00530B39" w:rsidP="003E69EE">
            <w:pPr>
              <w:jc w:val="center"/>
              <w:rPr>
                <w:b/>
                <w:bCs/>
                <w:noProof/>
                <w:sz w:val="20"/>
                <w:szCs w:val="20"/>
              </w:rPr>
            </w:pPr>
          </w:p>
        </w:tc>
        <w:tc>
          <w:tcPr>
            <w:tcW w:w="3888" w:type="dxa"/>
            <w:vMerge w:val="restart"/>
            <w:vAlign w:val="center"/>
          </w:tcPr>
          <w:p w14:paraId="72AACD7D" w14:textId="23C460FE" w:rsidR="00530B39" w:rsidRPr="008D6063" w:rsidRDefault="00530B39" w:rsidP="0062450B">
            <w:pPr>
              <w:jc w:val="both"/>
              <w:rPr>
                <w:noProof/>
                <w:sz w:val="18"/>
                <w:szCs w:val="18"/>
              </w:rPr>
            </w:pPr>
            <w:r w:rsidRPr="008D6063">
              <w:rPr>
                <w:noProof/>
                <w:sz w:val="18"/>
                <w:szCs w:val="18"/>
              </w:rPr>
              <w:t>TA in strengthening emergency response capacity of hospitals and public health services: i) International TA in needs assessment, emergency response planning, monitoring and evaluation; ii) Improving infection prevention and control in local clinics, and improve capacity of physicians and nurses in managing severe COVID 19</w:t>
            </w:r>
            <w:r w:rsidR="0062450B" w:rsidRPr="008D6063">
              <w:rPr>
                <w:noProof/>
                <w:sz w:val="18"/>
                <w:szCs w:val="18"/>
              </w:rPr>
              <w:t>.</w:t>
            </w:r>
          </w:p>
        </w:tc>
        <w:tc>
          <w:tcPr>
            <w:tcW w:w="6930" w:type="dxa"/>
            <w:vAlign w:val="center"/>
          </w:tcPr>
          <w:p w14:paraId="1D9A1692" w14:textId="77777777" w:rsidR="0095087B" w:rsidRPr="008D6063" w:rsidRDefault="0095087B" w:rsidP="008046AC">
            <w:pPr>
              <w:rPr>
                <w:noProof/>
                <w:sz w:val="18"/>
                <w:szCs w:val="18"/>
              </w:rPr>
            </w:pPr>
          </w:p>
          <w:p w14:paraId="581A654D" w14:textId="07AD15CA" w:rsidR="005C404F" w:rsidRPr="008D6063" w:rsidRDefault="00530B39" w:rsidP="00B718DF">
            <w:pPr>
              <w:jc w:val="both"/>
              <w:rPr>
                <w:noProof/>
                <w:sz w:val="18"/>
                <w:szCs w:val="18"/>
              </w:rPr>
            </w:pPr>
            <w:r w:rsidRPr="008D6063">
              <w:rPr>
                <w:noProof/>
                <w:sz w:val="18"/>
                <w:szCs w:val="18"/>
              </w:rPr>
              <w:t xml:space="preserve">The project has envisaged conducting the readiness assessment of primary and </w:t>
            </w:r>
            <w:r w:rsidR="00BB607B" w:rsidRPr="008D6063">
              <w:rPr>
                <w:noProof/>
                <w:sz w:val="18"/>
                <w:szCs w:val="18"/>
              </w:rPr>
              <w:t>secondary health</w:t>
            </w:r>
            <w:r w:rsidRPr="008D6063">
              <w:rPr>
                <w:noProof/>
                <w:sz w:val="18"/>
                <w:szCs w:val="18"/>
              </w:rPr>
              <w:t xml:space="preserve"> centers. </w:t>
            </w:r>
            <w:r w:rsidR="00B01391" w:rsidRPr="008D6063">
              <w:rPr>
                <w:noProof/>
                <w:sz w:val="18"/>
                <w:szCs w:val="18"/>
              </w:rPr>
              <w:t>The project closely coordinates all activities</w:t>
            </w:r>
            <w:r w:rsidRPr="008D6063">
              <w:rPr>
                <w:noProof/>
                <w:sz w:val="18"/>
                <w:szCs w:val="18"/>
              </w:rPr>
              <w:t xml:space="preserve"> with MoH as well as WHO and other </w:t>
            </w:r>
            <w:r w:rsidR="00DC5C20" w:rsidRPr="008D6063">
              <w:rPr>
                <w:noProof/>
                <w:sz w:val="18"/>
                <w:szCs w:val="18"/>
              </w:rPr>
              <w:t>key</w:t>
            </w:r>
            <w:r w:rsidR="005C404F" w:rsidRPr="008D6063">
              <w:rPr>
                <w:noProof/>
                <w:sz w:val="18"/>
                <w:szCs w:val="18"/>
              </w:rPr>
              <w:t xml:space="preserve"> stakeholders </w:t>
            </w:r>
            <w:r w:rsidRPr="008D6063">
              <w:rPr>
                <w:noProof/>
                <w:sz w:val="18"/>
                <w:szCs w:val="18"/>
              </w:rPr>
              <w:t>to</w:t>
            </w:r>
            <w:r w:rsidR="005C404F" w:rsidRPr="008D6063">
              <w:rPr>
                <w:noProof/>
                <w:sz w:val="18"/>
                <w:szCs w:val="18"/>
              </w:rPr>
              <w:t>:</w:t>
            </w:r>
            <w:r w:rsidRPr="008D6063">
              <w:rPr>
                <w:noProof/>
                <w:sz w:val="18"/>
                <w:szCs w:val="18"/>
              </w:rPr>
              <w:t xml:space="preserve"> </w:t>
            </w:r>
          </w:p>
          <w:p w14:paraId="3B6090B8" w14:textId="0959C18C" w:rsidR="00530B39" w:rsidRPr="008D6063" w:rsidRDefault="00530B39" w:rsidP="00B718DF">
            <w:pPr>
              <w:jc w:val="both"/>
              <w:rPr>
                <w:noProof/>
                <w:sz w:val="18"/>
                <w:szCs w:val="18"/>
              </w:rPr>
            </w:pPr>
            <w:r w:rsidRPr="008D6063">
              <w:rPr>
                <w:noProof/>
                <w:sz w:val="18"/>
                <w:szCs w:val="18"/>
              </w:rPr>
              <w:t xml:space="preserve">1) </w:t>
            </w:r>
            <w:r w:rsidR="005C404F" w:rsidRPr="008D6063">
              <w:rPr>
                <w:noProof/>
                <w:sz w:val="18"/>
                <w:szCs w:val="18"/>
              </w:rPr>
              <w:t>C</w:t>
            </w:r>
            <w:r w:rsidRPr="008D6063">
              <w:rPr>
                <w:noProof/>
                <w:sz w:val="18"/>
                <w:szCs w:val="18"/>
              </w:rPr>
              <w:t xml:space="preserve">onfirm the need for conducting the assessment with primary health centers in Adjara and Guria 2) </w:t>
            </w:r>
            <w:r w:rsidR="005C404F" w:rsidRPr="008D6063">
              <w:rPr>
                <w:noProof/>
                <w:sz w:val="18"/>
                <w:szCs w:val="18"/>
              </w:rPr>
              <w:t>G</w:t>
            </w:r>
            <w:r w:rsidRPr="008D6063">
              <w:rPr>
                <w:noProof/>
                <w:sz w:val="18"/>
                <w:szCs w:val="18"/>
              </w:rPr>
              <w:t>et the information about the existing data that is relevant for Adjara and Guria regions</w:t>
            </w:r>
            <w:r w:rsidR="00B718DF" w:rsidRPr="008D6063">
              <w:rPr>
                <w:noProof/>
                <w:sz w:val="18"/>
                <w:szCs w:val="18"/>
              </w:rPr>
              <w:t xml:space="preserve"> </w:t>
            </w:r>
            <w:r w:rsidRPr="008D6063">
              <w:rPr>
                <w:noProof/>
                <w:sz w:val="18"/>
                <w:szCs w:val="18"/>
              </w:rPr>
              <w:t xml:space="preserve">3) </w:t>
            </w:r>
            <w:r w:rsidR="005C404F" w:rsidRPr="008D6063">
              <w:rPr>
                <w:noProof/>
                <w:sz w:val="18"/>
                <w:szCs w:val="18"/>
              </w:rPr>
              <w:t>I</w:t>
            </w:r>
            <w:r w:rsidRPr="008D6063">
              <w:rPr>
                <w:noProof/>
                <w:sz w:val="18"/>
                <w:szCs w:val="18"/>
              </w:rPr>
              <w:t>dentify the needs for updating in the readiness assessment for Adjar and Guria regions</w:t>
            </w:r>
            <w:r w:rsidR="0095087B" w:rsidRPr="008D6063">
              <w:rPr>
                <w:noProof/>
                <w:sz w:val="18"/>
                <w:szCs w:val="18"/>
              </w:rPr>
              <w:t>.</w:t>
            </w:r>
          </w:p>
          <w:p w14:paraId="029CA6BC" w14:textId="77777777" w:rsidR="0095087B" w:rsidRPr="008D6063" w:rsidRDefault="0095087B" w:rsidP="008046AC">
            <w:pPr>
              <w:rPr>
                <w:noProof/>
                <w:sz w:val="18"/>
                <w:szCs w:val="18"/>
              </w:rPr>
            </w:pPr>
          </w:p>
        </w:tc>
        <w:tc>
          <w:tcPr>
            <w:tcW w:w="761" w:type="dxa"/>
            <w:vAlign w:val="center"/>
          </w:tcPr>
          <w:p w14:paraId="4EB51D23" w14:textId="77777777" w:rsidR="00530B39" w:rsidRPr="008D6063" w:rsidRDefault="00530B39" w:rsidP="00BB607B">
            <w:pPr>
              <w:jc w:val="center"/>
              <w:rPr>
                <w:b/>
                <w:bCs/>
                <w:noProof/>
                <w:sz w:val="20"/>
                <w:szCs w:val="20"/>
              </w:rPr>
            </w:pPr>
            <w:r w:rsidRPr="008D6063">
              <w:rPr>
                <w:b/>
                <w:bCs/>
                <w:noProof/>
                <w:sz w:val="20"/>
                <w:szCs w:val="20"/>
              </w:rPr>
              <w:t>30-36</w:t>
            </w:r>
          </w:p>
        </w:tc>
      </w:tr>
      <w:tr w:rsidR="00530B39" w:rsidRPr="008D6063" w14:paraId="180B3024" w14:textId="77777777" w:rsidTr="00475485">
        <w:trPr>
          <w:jc w:val="center"/>
        </w:trPr>
        <w:tc>
          <w:tcPr>
            <w:tcW w:w="1417" w:type="dxa"/>
            <w:vMerge/>
            <w:vAlign w:val="center"/>
          </w:tcPr>
          <w:p w14:paraId="488AEE9C" w14:textId="77777777" w:rsidR="00530B39" w:rsidRPr="008D6063" w:rsidRDefault="00530B39" w:rsidP="003E69EE">
            <w:pPr>
              <w:jc w:val="center"/>
              <w:rPr>
                <w:b/>
                <w:bCs/>
                <w:noProof/>
                <w:sz w:val="20"/>
                <w:szCs w:val="20"/>
              </w:rPr>
            </w:pPr>
          </w:p>
        </w:tc>
        <w:tc>
          <w:tcPr>
            <w:tcW w:w="3888" w:type="dxa"/>
            <w:vMerge/>
            <w:vAlign w:val="center"/>
          </w:tcPr>
          <w:p w14:paraId="14F0BBC1" w14:textId="77777777" w:rsidR="00530B39" w:rsidRPr="008D6063" w:rsidRDefault="00530B39" w:rsidP="008046AC">
            <w:pPr>
              <w:rPr>
                <w:noProof/>
                <w:sz w:val="18"/>
                <w:szCs w:val="18"/>
              </w:rPr>
            </w:pPr>
          </w:p>
        </w:tc>
        <w:tc>
          <w:tcPr>
            <w:tcW w:w="6930" w:type="dxa"/>
            <w:vAlign w:val="center"/>
          </w:tcPr>
          <w:p w14:paraId="725F8FDC" w14:textId="77777777" w:rsidR="0095087B" w:rsidRPr="008D6063" w:rsidRDefault="0095087B" w:rsidP="008046AC">
            <w:pPr>
              <w:rPr>
                <w:noProof/>
                <w:sz w:val="18"/>
                <w:szCs w:val="18"/>
              </w:rPr>
            </w:pPr>
          </w:p>
          <w:p w14:paraId="11DAD145" w14:textId="47BBFB3C" w:rsidR="009F1693" w:rsidRPr="008D6063" w:rsidRDefault="00530B39" w:rsidP="00B718DF">
            <w:pPr>
              <w:jc w:val="both"/>
              <w:rPr>
                <w:noProof/>
                <w:sz w:val="18"/>
                <w:szCs w:val="18"/>
              </w:rPr>
            </w:pPr>
            <w:r w:rsidRPr="008D6063">
              <w:rPr>
                <w:noProof/>
                <w:sz w:val="18"/>
                <w:szCs w:val="18"/>
              </w:rPr>
              <w:t xml:space="preserve">The project will further enhance </w:t>
            </w:r>
            <w:r w:rsidR="005C404F" w:rsidRPr="008D6063">
              <w:rPr>
                <w:noProof/>
                <w:sz w:val="18"/>
                <w:szCs w:val="18"/>
              </w:rPr>
              <w:t>existing</w:t>
            </w:r>
            <w:r w:rsidRPr="008D6063">
              <w:rPr>
                <w:noProof/>
                <w:sz w:val="18"/>
                <w:szCs w:val="18"/>
              </w:rPr>
              <w:t xml:space="preserve"> capacity-building component, by training medical personnel at primary and secondary health centers </w:t>
            </w:r>
            <w:r w:rsidR="00BB607B" w:rsidRPr="008D6063">
              <w:rPr>
                <w:noProof/>
                <w:sz w:val="18"/>
                <w:szCs w:val="18"/>
              </w:rPr>
              <w:t>on</w:t>
            </w:r>
            <w:r w:rsidRPr="008D6063">
              <w:rPr>
                <w:noProof/>
                <w:sz w:val="18"/>
                <w:szCs w:val="18"/>
              </w:rPr>
              <w:t xml:space="preserve"> </w:t>
            </w:r>
            <w:r w:rsidR="004720B0" w:rsidRPr="008D6063">
              <w:rPr>
                <w:noProof/>
                <w:sz w:val="18"/>
                <w:szCs w:val="18"/>
              </w:rPr>
              <w:t xml:space="preserve">specialized </w:t>
            </w:r>
            <w:r w:rsidRPr="008D6063">
              <w:rPr>
                <w:noProof/>
                <w:sz w:val="18"/>
                <w:szCs w:val="18"/>
              </w:rPr>
              <w:t>population-level prevention measures.</w:t>
            </w:r>
            <w:r w:rsidR="00B205F9" w:rsidRPr="008D6063">
              <w:rPr>
                <w:noProof/>
                <w:sz w:val="18"/>
                <w:szCs w:val="18"/>
              </w:rPr>
              <w:t xml:space="preserve"> </w:t>
            </w:r>
            <w:r w:rsidR="0061397F" w:rsidRPr="008D6063">
              <w:rPr>
                <w:noProof/>
                <w:sz w:val="18"/>
                <w:szCs w:val="18"/>
              </w:rPr>
              <w:t xml:space="preserve">Fully trained </w:t>
            </w:r>
            <w:r w:rsidR="00BA113F" w:rsidRPr="008D6063">
              <w:rPr>
                <w:noProof/>
                <w:sz w:val="18"/>
                <w:szCs w:val="18"/>
              </w:rPr>
              <w:t xml:space="preserve">and equipped medical </w:t>
            </w:r>
            <w:r w:rsidR="00161FE8" w:rsidRPr="008D6063">
              <w:rPr>
                <w:noProof/>
                <w:sz w:val="18"/>
                <w:szCs w:val="18"/>
              </w:rPr>
              <w:t>professionals are the entry point</w:t>
            </w:r>
            <w:r w:rsidRPr="008D6063">
              <w:rPr>
                <w:noProof/>
                <w:sz w:val="18"/>
                <w:szCs w:val="18"/>
              </w:rPr>
              <w:t xml:space="preserve"> to reach the wider communities </w:t>
            </w:r>
            <w:r w:rsidR="00832F10" w:rsidRPr="008D6063">
              <w:rPr>
                <w:noProof/>
                <w:sz w:val="18"/>
                <w:szCs w:val="18"/>
              </w:rPr>
              <w:t xml:space="preserve">and create broad </w:t>
            </w:r>
            <w:r w:rsidR="00BA113F" w:rsidRPr="008D6063">
              <w:rPr>
                <w:noProof/>
                <w:sz w:val="18"/>
                <w:szCs w:val="18"/>
              </w:rPr>
              <w:t xml:space="preserve">information and dissemination </w:t>
            </w:r>
            <w:r w:rsidR="00832F10" w:rsidRPr="008D6063">
              <w:rPr>
                <w:noProof/>
                <w:sz w:val="18"/>
                <w:szCs w:val="18"/>
              </w:rPr>
              <w:t xml:space="preserve">coverage </w:t>
            </w:r>
            <w:r w:rsidRPr="008D6063">
              <w:rPr>
                <w:noProof/>
                <w:sz w:val="18"/>
                <w:szCs w:val="18"/>
              </w:rPr>
              <w:t>and</w:t>
            </w:r>
            <w:r w:rsidR="00832F10" w:rsidRPr="008D6063">
              <w:rPr>
                <w:noProof/>
                <w:sz w:val="18"/>
                <w:szCs w:val="18"/>
              </w:rPr>
              <w:t xml:space="preserve"> </w:t>
            </w:r>
            <w:r w:rsidRPr="008D6063">
              <w:rPr>
                <w:noProof/>
                <w:sz w:val="18"/>
                <w:szCs w:val="18"/>
              </w:rPr>
              <w:t>contact persons</w:t>
            </w:r>
            <w:r w:rsidR="00AA011B" w:rsidRPr="008D6063">
              <w:rPr>
                <w:noProof/>
                <w:sz w:val="18"/>
                <w:szCs w:val="18"/>
              </w:rPr>
              <w:t xml:space="preserve"> tracing of local population.</w:t>
            </w:r>
            <w:r w:rsidRPr="008D6063">
              <w:rPr>
                <w:noProof/>
                <w:sz w:val="18"/>
                <w:szCs w:val="18"/>
              </w:rPr>
              <w:t xml:space="preserve"> Therefore, based on the existing training or </w:t>
            </w:r>
            <w:r w:rsidR="005E739D" w:rsidRPr="008D6063">
              <w:rPr>
                <w:noProof/>
                <w:sz w:val="18"/>
                <w:szCs w:val="18"/>
              </w:rPr>
              <w:t>specifically aimed</w:t>
            </w:r>
            <w:r w:rsidRPr="008D6063">
              <w:rPr>
                <w:noProof/>
                <w:sz w:val="18"/>
                <w:szCs w:val="18"/>
              </w:rPr>
              <w:t xml:space="preserve"> training material, </w:t>
            </w:r>
            <w:r w:rsidR="005E739D" w:rsidRPr="008D6063">
              <w:rPr>
                <w:noProof/>
                <w:sz w:val="18"/>
                <w:szCs w:val="18"/>
              </w:rPr>
              <w:t>the project focuses to</w:t>
            </w:r>
            <w:r w:rsidRPr="008D6063">
              <w:rPr>
                <w:noProof/>
                <w:sz w:val="18"/>
                <w:szCs w:val="18"/>
              </w:rPr>
              <w:t xml:space="preserve"> train </w:t>
            </w:r>
            <w:r w:rsidR="005E739D" w:rsidRPr="008D6063">
              <w:rPr>
                <w:noProof/>
                <w:sz w:val="18"/>
                <w:szCs w:val="18"/>
              </w:rPr>
              <w:t xml:space="preserve">medical </w:t>
            </w:r>
            <w:r w:rsidRPr="008D6063">
              <w:rPr>
                <w:noProof/>
                <w:sz w:val="18"/>
                <w:szCs w:val="18"/>
              </w:rPr>
              <w:t xml:space="preserve">doctors and nurses in communicating the infection prevention mechanisms with wider population in a simplified </w:t>
            </w:r>
            <w:r w:rsidR="009F1693" w:rsidRPr="008D6063">
              <w:rPr>
                <w:noProof/>
                <w:sz w:val="18"/>
                <w:szCs w:val="18"/>
              </w:rPr>
              <w:t xml:space="preserve">and locally comprehensible </w:t>
            </w:r>
            <w:r w:rsidRPr="008D6063">
              <w:rPr>
                <w:noProof/>
                <w:sz w:val="18"/>
                <w:szCs w:val="18"/>
              </w:rPr>
              <w:t xml:space="preserve">manner. </w:t>
            </w:r>
          </w:p>
          <w:p w14:paraId="571EE654" w14:textId="403E7421" w:rsidR="00530B39" w:rsidRPr="008D6063" w:rsidRDefault="009F1693" w:rsidP="00B718DF">
            <w:pPr>
              <w:jc w:val="both"/>
              <w:rPr>
                <w:noProof/>
                <w:sz w:val="18"/>
                <w:szCs w:val="18"/>
              </w:rPr>
            </w:pPr>
            <w:r w:rsidRPr="008D6063">
              <w:rPr>
                <w:b/>
                <w:bCs/>
                <w:noProof/>
                <w:sz w:val="18"/>
                <w:szCs w:val="18"/>
              </w:rPr>
              <w:t xml:space="preserve">Coordination: </w:t>
            </w:r>
            <w:r w:rsidR="00530B39" w:rsidRPr="008D6063">
              <w:rPr>
                <w:noProof/>
                <w:sz w:val="18"/>
                <w:szCs w:val="18"/>
              </w:rPr>
              <w:t xml:space="preserve">Before the development of training package, the project will </w:t>
            </w:r>
            <w:r w:rsidR="00BB607B" w:rsidRPr="008D6063">
              <w:rPr>
                <w:noProof/>
                <w:sz w:val="18"/>
                <w:szCs w:val="18"/>
              </w:rPr>
              <w:t>contact</w:t>
            </w:r>
            <w:r w:rsidR="00530B39" w:rsidRPr="008D6063">
              <w:rPr>
                <w:noProof/>
                <w:sz w:val="18"/>
                <w:szCs w:val="18"/>
              </w:rPr>
              <w:t xml:space="preserve"> MoH to learn about the planned activities in training module and training process. The project will use the existing modules from MoH, CDC and other actors to elaborate the training package for </w:t>
            </w:r>
            <w:r w:rsidRPr="008D6063">
              <w:rPr>
                <w:noProof/>
                <w:sz w:val="18"/>
                <w:szCs w:val="18"/>
              </w:rPr>
              <w:t xml:space="preserve">medical </w:t>
            </w:r>
            <w:r w:rsidR="00530B39" w:rsidRPr="008D6063">
              <w:rPr>
                <w:noProof/>
                <w:sz w:val="18"/>
                <w:szCs w:val="18"/>
              </w:rPr>
              <w:t xml:space="preserve">doctors and nurses on population-level prevention </w:t>
            </w:r>
            <w:r w:rsidR="0095087B" w:rsidRPr="008D6063">
              <w:rPr>
                <w:noProof/>
                <w:sz w:val="18"/>
                <w:szCs w:val="18"/>
              </w:rPr>
              <w:t>measures</w:t>
            </w:r>
            <w:r w:rsidR="00530B39" w:rsidRPr="008D6063">
              <w:rPr>
                <w:noProof/>
                <w:sz w:val="18"/>
                <w:szCs w:val="18"/>
              </w:rPr>
              <w:t xml:space="preserve">. Therefore, the </w:t>
            </w:r>
            <w:r w:rsidR="0095087B" w:rsidRPr="008D6063">
              <w:rPr>
                <w:noProof/>
                <w:sz w:val="18"/>
                <w:szCs w:val="18"/>
              </w:rPr>
              <w:lastRenderedPageBreak/>
              <w:t>project</w:t>
            </w:r>
            <w:r w:rsidR="00530B39" w:rsidRPr="008D6063">
              <w:rPr>
                <w:noProof/>
                <w:sz w:val="18"/>
                <w:szCs w:val="18"/>
              </w:rPr>
              <w:t xml:space="preserve"> will enhance the existing capacity-building measures and plans, by improving communication channels and </w:t>
            </w:r>
            <w:r w:rsidR="0095087B" w:rsidRPr="008D6063">
              <w:rPr>
                <w:noProof/>
                <w:sz w:val="18"/>
                <w:szCs w:val="18"/>
              </w:rPr>
              <w:t>current</w:t>
            </w:r>
            <w:r w:rsidR="00530B39" w:rsidRPr="008D6063">
              <w:rPr>
                <w:noProof/>
                <w:sz w:val="18"/>
                <w:szCs w:val="18"/>
              </w:rPr>
              <w:t xml:space="preserve"> information dissemination from medical personnel to the communities</w:t>
            </w:r>
            <w:r w:rsidR="0095087B" w:rsidRPr="008D6063">
              <w:rPr>
                <w:noProof/>
                <w:sz w:val="18"/>
                <w:szCs w:val="18"/>
              </w:rPr>
              <w:t>.</w:t>
            </w:r>
          </w:p>
          <w:p w14:paraId="577704A6" w14:textId="77777777" w:rsidR="0095087B" w:rsidRPr="008D6063" w:rsidRDefault="0095087B" w:rsidP="008046AC">
            <w:pPr>
              <w:rPr>
                <w:noProof/>
                <w:sz w:val="18"/>
                <w:szCs w:val="18"/>
              </w:rPr>
            </w:pPr>
          </w:p>
        </w:tc>
        <w:tc>
          <w:tcPr>
            <w:tcW w:w="761" w:type="dxa"/>
            <w:vAlign w:val="center"/>
          </w:tcPr>
          <w:p w14:paraId="0BFA2FDF" w14:textId="77777777" w:rsidR="00530B39" w:rsidRPr="008D6063" w:rsidRDefault="00530B39" w:rsidP="00BB607B">
            <w:pPr>
              <w:jc w:val="center"/>
              <w:rPr>
                <w:b/>
                <w:bCs/>
                <w:noProof/>
                <w:sz w:val="20"/>
                <w:szCs w:val="20"/>
              </w:rPr>
            </w:pPr>
            <w:r w:rsidRPr="008D6063">
              <w:rPr>
                <w:b/>
                <w:bCs/>
                <w:noProof/>
                <w:sz w:val="20"/>
                <w:szCs w:val="20"/>
              </w:rPr>
              <w:lastRenderedPageBreak/>
              <w:t>30-36</w:t>
            </w:r>
          </w:p>
        </w:tc>
      </w:tr>
      <w:tr w:rsidR="00AB0279" w:rsidRPr="008D6063" w14:paraId="37843445" w14:textId="77777777" w:rsidTr="00475485">
        <w:trPr>
          <w:jc w:val="center"/>
        </w:trPr>
        <w:tc>
          <w:tcPr>
            <w:tcW w:w="1417" w:type="dxa"/>
            <w:vAlign w:val="center"/>
          </w:tcPr>
          <w:p w14:paraId="00429C6A" w14:textId="77777777" w:rsidR="00AB0279" w:rsidRPr="008D6063" w:rsidRDefault="00AB0279" w:rsidP="003E69EE">
            <w:pPr>
              <w:jc w:val="center"/>
              <w:rPr>
                <w:b/>
                <w:bCs/>
                <w:noProof/>
                <w:sz w:val="20"/>
                <w:szCs w:val="20"/>
              </w:rPr>
            </w:pPr>
          </w:p>
        </w:tc>
        <w:tc>
          <w:tcPr>
            <w:tcW w:w="3888" w:type="dxa"/>
            <w:vAlign w:val="center"/>
          </w:tcPr>
          <w:p w14:paraId="16773EFD" w14:textId="77777777" w:rsidR="00AB0279" w:rsidRPr="008D6063" w:rsidRDefault="00AB0279" w:rsidP="008046AC">
            <w:pPr>
              <w:rPr>
                <w:noProof/>
                <w:sz w:val="18"/>
                <w:szCs w:val="18"/>
              </w:rPr>
            </w:pPr>
            <w:r w:rsidRPr="008D6063">
              <w:rPr>
                <w:noProof/>
                <w:sz w:val="18"/>
                <w:szCs w:val="18"/>
              </w:rPr>
              <w:t>Provided Georgian lang</w:t>
            </w:r>
            <w:bookmarkStart w:id="0" w:name="_GoBack"/>
            <w:bookmarkEnd w:id="0"/>
            <w:r w:rsidRPr="008D6063">
              <w:rPr>
                <w:noProof/>
                <w:sz w:val="18"/>
                <w:szCs w:val="18"/>
              </w:rPr>
              <w:t>uage translations of WHO’s COVID-19 PPE guidance to the Ministry</w:t>
            </w:r>
          </w:p>
        </w:tc>
        <w:tc>
          <w:tcPr>
            <w:tcW w:w="6930" w:type="dxa"/>
            <w:vAlign w:val="center"/>
          </w:tcPr>
          <w:p w14:paraId="77B83764" w14:textId="77777777" w:rsidR="0095087B" w:rsidRPr="008D6063" w:rsidRDefault="0095087B" w:rsidP="008046AC">
            <w:pPr>
              <w:rPr>
                <w:noProof/>
                <w:sz w:val="18"/>
                <w:szCs w:val="18"/>
              </w:rPr>
            </w:pPr>
          </w:p>
          <w:p w14:paraId="7131EA79" w14:textId="206C488A" w:rsidR="00AB0279" w:rsidRPr="008D6063" w:rsidRDefault="00AB0279" w:rsidP="00B718DF">
            <w:pPr>
              <w:jc w:val="both"/>
              <w:rPr>
                <w:noProof/>
                <w:sz w:val="18"/>
                <w:szCs w:val="18"/>
              </w:rPr>
            </w:pPr>
            <w:r w:rsidRPr="008D6063">
              <w:rPr>
                <w:noProof/>
                <w:sz w:val="18"/>
                <w:szCs w:val="18"/>
              </w:rPr>
              <w:t>The translation of the guidance on PPE materials will be used in the project. The project will print out the guidance to distribute in primary and secondary health centers</w:t>
            </w:r>
            <w:r w:rsidR="00936B4C" w:rsidRPr="008D6063">
              <w:rPr>
                <w:noProof/>
                <w:sz w:val="18"/>
                <w:szCs w:val="18"/>
              </w:rPr>
              <w:t xml:space="preserve"> and designate medical personnel responsible for proper administration</w:t>
            </w:r>
            <w:r w:rsidR="00AB60D5" w:rsidRPr="008D6063">
              <w:rPr>
                <w:noProof/>
                <w:sz w:val="18"/>
                <w:szCs w:val="18"/>
              </w:rPr>
              <w:t xml:space="preserve"> of guidelines. </w:t>
            </w:r>
          </w:p>
          <w:p w14:paraId="22FD0CA2" w14:textId="77777777" w:rsidR="0095087B" w:rsidRPr="008D6063" w:rsidRDefault="0095087B" w:rsidP="008046AC">
            <w:pPr>
              <w:rPr>
                <w:noProof/>
                <w:sz w:val="18"/>
                <w:szCs w:val="18"/>
              </w:rPr>
            </w:pPr>
          </w:p>
        </w:tc>
        <w:tc>
          <w:tcPr>
            <w:tcW w:w="761" w:type="dxa"/>
            <w:vAlign w:val="center"/>
          </w:tcPr>
          <w:p w14:paraId="60DA733F" w14:textId="77777777" w:rsidR="00AB0279" w:rsidRPr="008D6063" w:rsidRDefault="003E69EE" w:rsidP="00BB607B">
            <w:pPr>
              <w:jc w:val="center"/>
              <w:rPr>
                <w:b/>
                <w:bCs/>
                <w:noProof/>
                <w:sz w:val="20"/>
                <w:szCs w:val="20"/>
              </w:rPr>
            </w:pPr>
            <w:r w:rsidRPr="008D6063">
              <w:rPr>
                <w:b/>
                <w:bCs/>
                <w:noProof/>
                <w:sz w:val="20"/>
                <w:szCs w:val="20"/>
              </w:rPr>
              <w:t>50</w:t>
            </w:r>
          </w:p>
        </w:tc>
      </w:tr>
      <w:tr w:rsidR="00AB0279" w:rsidRPr="008D6063" w14:paraId="7B786D36" w14:textId="77777777" w:rsidTr="00475485">
        <w:trPr>
          <w:jc w:val="center"/>
        </w:trPr>
        <w:tc>
          <w:tcPr>
            <w:tcW w:w="1417" w:type="dxa"/>
            <w:vAlign w:val="center"/>
          </w:tcPr>
          <w:p w14:paraId="65D6029F" w14:textId="77777777" w:rsidR="00AB0279" w:rsidRPr="008D6063" w:rsidRDefault="00AB0279" w:rsidP="003E69EE">
            <w:pPr>
              <w:jc w:val="center"/>
              <w:rPr>
                <w:b/>
                <w:bCs/>
                <w:noProof/>
                <w:sz w:val="20"/>
                <w:szCs w:val="20"/>
              </w:rPr>
            </w:pPr>
          </w:p>
        </w:tc>
        <w:tc>
          <w:tcPr>
            <w:tcW w:w="3888" w:type="dxa"/>
            <w:vAlign w:val="center"/>
          </w:tcPr>
          <w:p w14:paraId="5E2F7982" w14:textId="77777777" w:rsidR="00AB0279" w:rsidRPr="008D6063" w:rsidRDefault="00530B39" w:rsidP="008046AC">
            <w:pPr>
              <w:rPr>
                <w:noProof/>
                <w:sz w:val="18"/>
                <w:szCs w:val="18"/>
              </w:rPr>
            </w:pPr>
            <w:r w:rsidRPr="008D6063">
              <w:rPr>
                <w:noProof/>
                <w:sz w:val="18"/>
                <w:szCs w:val="18"/>
              </w:rPr>
              <w:t>Risk Communication</w:t>
            </w:r>
          </w:p>
        </w:tc>
        <w:tc>
          <w:tcPr>
            <w:tcW w:w="6930" w:type="dxa"/>
            <w:vAlign w:val="center"/>
          </w:tcPr>
          <w:p w14:paraId="5E5551B5" w14:textId="77777777" w:rsidR="0095087B" w:rsidRPr="008D6063" w:rsidRDefault="0095087B" w:rsidP="008046AC">
            <w:pPr>
              <w:rPr>
                <w:noProof/>
                <w:sz w:val="18"/>
                <w:szCs w:val="18"/>
              </w:rPr>
            </w:pPr>
          </w:p>
          <w:p w14:paraId="0FE3C3CE" w14:textId="76F921BC" w:rsidR="0095087B" w:rsidRPr="008D6063" w:rsidRDefault="00AB0279" w:rsidP="00B718DF">
            <w:pPr>
              <w:jc w:val="both"/>
              <w:rPr>
                <w:b/>
                <w:bCs/>
                <w:noProof/>
                <w:sz w:val="18"/>
                <w:szCs w:val="18"/>
              </w:rPr>
            </w:pPr>
            <w:r w:rsidRPr="008D6063">
              <w:rPr>
                <w:noProof/>
                <w:sz w:val="18"/>
                <w:szCs w:val="18"/>
              </w:rPr>
              <w:t xml:space="preserve">The project plans to implement wide scale risk communication activities in Guria and Adjara region, which will be closely coordinated with USAID activities. Georgian Medical Group is implementing the current WASH project by USAID in Adjara region and has developed the handwashing video materials widely disseminated countrywide including </w:t>
            </w:r>
            <w:r w:rsidR="0095087B" w:rsidRPr="008D6063">
              <w:rPr>
                <w:noProof/>
                <w:sz w:val="18"/>
                <w:szCs w:val="18"/>
              </w:rPr>
              <w:t>translated</w:t>
            </w:r>
            <w:r w:rsidRPr="008D6063">
              <w:rPr>
                <w:noProof/>
                <w:sz w:val="18"/>
                <w:szCs w:val="18"/>
              </w:rPr>
              <w:t xml:space="preserve"> for ethnic minority groups. In coordination with USAID WASH project, the project will use the existing handwashing videos to be disseminated in hospitals along with other </w:t>
            </w:r>
            <w:r w:rsidR="004E7867" w:rsidRPr="008D6063">
              <w:rPr>
                <w:noProof/>
                <w:sz w:val="18"/>
                <w:szCs w:val="18"/>
              </w:rPr>
              <w:t xml:space="preserve">CoViD 19 aimed </w:t>
            </w:r>
            <w:r w:rsidRPr="008D6063">
              <w:rPr>
                <w:noProof/>
                <w:sz w:val="18"/>
                <w:szCs w:val="18"/>
              </w:rPr>
              <w:t xml:space="preserve">prevention video materials. </w:t>
            </w:r>
            <w:r w:rsidR="00127C6F" w:rsidRPr="008D6063">
              <w:rPr>
                <w:b/>
                <w:bCs/>
                <w:noProof/>
                <w:sz w:val="18"/>
                <w:szCs w:val="18"/>
              </w:rPr>
              <w:t xml:space="preserve">The added value of the project is also </w:t>
            </w:r>
            <w:r w:rsidR="002306CD" w:rsidRPr="008D6063">
              <w:rPr>
                <w:b/>
                <w:bCs/>
                <w:noProof/>
                <w:sz w:val="18"/>
                <w:szCs w:val="18"/>
              </w:rPr>
              <w:t>strong gender</w:t>
            </w:r>
            <w:r w:rsidR="006439E6" w:rsidRPr="008D6063">
              <w:rPr>
                <w:b/>
                <w:bCs/>
                <w:noProof/>
                <w:sz w:val="18"/>
                <w:szCs w:val="18"/>
              </w:rPr>
              <w:t>-specific</w:t>
            </w:r>
            <w:r w:rsidR="002306CD" w:rsidRPr="008D6063">
              <w:rPr>
                <w:b/>
                <w:bCs/>
                <w:noProof/>
                <w:sz w:val="18"/>
                <w:szCs w:val="18"/>
              </w:rPr>
              <w:t xml:space="preserve"> focus and </w:t>
            </w:r>
            <w:r w:rsidR="006439E6" w:rsidRPr="008D6063">
              <w:rPr>
                <w:b/>
                <w:bCs/>
                <w:noProof/>
                <w:sz w:val="18"/>
                <w:szCs w:val="18"/>
              </w:rPr>
              <w:t>programing with prevention and</w:t>
            </w:r>
            <w:r w:rsidRPr="008D6063">
              <w:rPr>
                <w:b/>
                <w:bCs/>
                <w:noProof/>
                <w:sz w:val="18"/>
                <w:szCs w:val="18"/>
              </w:rPr>
              <w:t xml:space="preserve"> risk </w:t>
            </w:r>
            <w:r w:rsidR="0095087B" w:rsidRPr="008D6063">
              <w:rPr>
                <w:b/>
                <w:bCs/>
                <w:noProof/>
                <w:sz w:val="18"/>
                <w:szCs w:val="18"/>
              </w:rPr>
              <w:t>communication</w:t>
            </w:r>
            <w:r w:rsidRPr="008D6063">
              <w:rPr>
                <w:b/>
                <w:bCs/>
                <w:noProof/>
                <w:sz w:val="18"/>
                <w:szCs w:val="18"/>
              </w:rPr>
              <w:t xml:space="preserve"> materials with its strong focus on women and girls</w:t>
            </w:r>
            <w:r w:rsidR="006439E6" w:rsidRPr="008D6063">
              <w:rPr>
                <w:b/>
                <w:bCs/>
                <w:noProof/>
                <w:sz w:val="18"/>
                <w:szCs w:val="18"/>
              </w:rPr>
              <w:t xml:space="preserve">. </w:t>
            </w:r>
          </w:p>
          <w:p w14:paraId="66377211" w14:textId="58CB7210" w:rsidR="006439E6" w:rsidRPr="008D6063" w:rsidRDefault="006439E6" w:rsidP="006439E6">
            <w:pPr>
              <w:rPr>
                <w:noProof/>
                <w:sz w:val="18"/>
                <w:szCs w:val="18"/>
              </w:rPr>
            </w:pPr>
          </w:p>
        </w:tc>
        <w:tc>
          <w:tcPr>
            <w:tcW w:w="761" w:type="dxa"/>
            <w:vAlign w:val="center"/>
          </w:tcPr>
          <w:p w14:paraId="781FEA9C" w14:textId="77777777" w:rsidR="00AB0279" w:rsidRPr="008D6063" w:rsidRDefault="003E69EE" w:rsidP="00BB607B">
            <w:pPr>
              <w:jc w:val="center"/>
              <w:rPr>
                <w:b/>
                <w:bCs/>
                <w:noProof/>
                <w:sz w:val="20"/>
                <w:szCs w:val="20"/>
              </w:rPr>
            </w:pPr>
            <w:r w:rsidRPr="008D6063">
              <w:rPr>
                <w:b/>
                <w:bCs/>
                <w:noProof/>
                <w:sz w:val="20"/>
                <w:szCs w:val="20"/>
              </w:rPr>
              <w:t>54-61</w:t>
            </w:r>
          </w:p>
        </w:tc>
      </w:tr>
      <w:tr w:rsidR="00AB0279" w:rsidRPr="008D6063" w14:paraId="2CFAE06B" w14:textId="77777777" w:rsidTr="00475485">
        <w:trPr>
          <w:jc w:val="center"/>
        </w:trPr>
        <w:tc>
          <w:tcPr>
            <w:tcW w:w="1417" w:type="dxa"/>
            <w:vAlign w:val="center"/>
          </w:tcPr>
          <w:p w14:paraId="5602AB46" w14:textId="77777777" w:rsidR="00AB0279" w:rsidRPr="008D6063" w:rsidRDefault="00530B39" w:rsidP="003E69EE">
            <w:pPr>
              <w:jc w:val="center"/>
              <w:rPr>
                <w:b/>
                <w:bCs/>
                <w:noProof/>
                <w:sz w:val="20"/>
                <w:szCs w:val="20"/>
              </w:rPr>
            </w:pPr>
            <w:r w:rsidRPr="008D6063">
              <w:rPr>
                <w:b/>
                <w:bCs/>
                <w:noProof/>
                <w:sz w:val="20"/>
                <w:szCs w:val="20"/>
              </w:rPr>
              <w:t>NCDC</w:t>
            </w:r>
          </w:p>
        </w:tc>
        <w:tc>
          <w:tcPr>
            <w:tcW w:w="3888" w:type="dxa"/>
            <w:vAlign w:val="center"/>
          </w:tcPr>
          <w:p w14:paraId="3F71839B" w14:textId="77777777" w:rsidR="00AB0279" w:rsidRPr="008D6063" w:rsidRDefault="00530B39" w:rsidP="00B718DF">
            <w:pPr>
              <w:jc w:val="both"/>
              <w:rPr>
                <w:noProof/>
                <w:sz w:val="18"/>
                <w:szCs w:val="18"/>
              </w:rPr>
            </w:pPr>
            <w:r w:rsidRPr="008D6063">
              <w:rPr>
                <w:noProof/>
                <w:sz w:val="18"/>
                <w:szCs w:val="18"/>
              </w:rPr>
              <w:t xml:space="preserve">Through UNDP, GGF will soon be working with NCDC to develop a National Risk Communication Strategy for NCDC and the Georgian Government.  </w:t>
            </w:r>
          </w:p>
        </w:tc>
        <w:tc>
          <w:tcPr>
            <w:tcW w:w="6930" w:type="dxa"/>
            <w:vAlign w:val="center"/>
          </w:tcPr>
          <w:p w14:paraId="00D2AFB9" w14:textId="77777777" w:rsidR="0095087B" w:rsidRPr="008D6063" w:rsidRDefault="0095087B" w:rsidP="008046AC">
            <w:pPr>
              <w:rPr>
                <w:noProof/>
                <w:sz w:val="18"/>
                <w:szCs w:val="18"/>
              </w:rPr>
            </w:pPr>
          </w:p>
          <w:p w14:paraId="3D4C6E47" w14:textId="77777777" w:rsidR="002E34BE" w:rsidRPr="008D6063" w:rsidRDefault="00530B39" w:rsidP="00B718DF">
            <w:pPr>
              <w:jc w:val="both"/>
              <w:rPr>
                <w:noProof/>
                <w:sz w:val="18"/>
                <w:szCs w:val="18"/>
              </w:rPr>
            </w:pPr>
            <w:r w:rsidRPr="008D6063">
              <w:rPr>
                <w:noProof/>
                <w:sz w:val="18"/>
                <w:szCs w:val="18"/>
              </w:rPr>
              <w:t xml:space="preserve">With its risk communication component, the project will contribute to implementation of the national risk communication strategy. </w:t>
            </w:r>
          </w:p>
          <w:p w14:paraId="2DABFA97" w14:textId="3D889F1A" w:rsidR="00AB0279" w:rsidRPr="008D6063" w:rsidRDefault="002E34BE" w:rsidP="00B718DF">
            <w:pPr>
              <w:jc w:val="both"/>
              <w:rPr>
                <w:noProof/>
                <w:sz w:val="18"/>
                <w:szCs w:val="18"/>
              </w:rPr>
            </w:pPr>
            <w:r w:rsidRPr="008D6063">
              <w:rPr>
                <w:b/>
                <w:bCs/>
                <w:noProof/>
                <w:sz w:val="18"/>
                <w:szCs w:val="18"/>
              </w:rPr>
              <w:t>Coordination:</w:t>
            </w:r>
            <w:r w:rsidRPr="008D6063">
              <w:rPr>
                <w:noProof/>
                <w:sz w:val="18"/>
                <w:szCs w:val="18"/>
              </w:rPr>
              <w:t xml:space="preserve"> </w:t>
            </w:r>
            <w:r w:rsidR="00530B39" w:rsidRPr="008D6063">
              <w:rPr>
                <w:noProof/>
                <w:sz w:val="18"/>
                <w:szCs w:val="18"/>
              </w:rPr>
              <w:t>Upon the start of the project, we will be in contact with M</w:t>
            </w:r>
            <w:r w:rsidR="00186172" w:rsidRPr="008D6063">
              <w:rPr>
                <w:noProof/>
                <w:sz w:val="18"/>
                <w:szCs w:val="18"/>
              </w:rPr>
              <w:t>o</w:t>
            </w:r>
            <w:r w:rsidR="00530B39" w:rsidRPr="008D6063">
              <w:rPr>
                <w:noProof/>
                <w:sz w:val="18"/>
                <w:szCs w:val="18"/>
              </w:rPr>
              <w:t>H</w:t>
            </w:r>
            <w:r w:rsidR="00186172" w:rsidRPr="008D6063">
              <w:rPr>
                <w:noProof/>
                <w:sz w:val="18"/>
                <w:szCs w:val="18"/>
              </w:rPr>
              <w:t xml:space="preserve"> of Georgia</w:t>
            </w:r>
            <w:r w:rsidR="00530B39" w:rsidRPr="008D6063">
              <w:rPr>
                <w:noProof/>
                <w:sz w:val="18"/>
                <w:szCs w:val="18"/>
              </w:rPr>
              <w:t xml:space="preserve"> to inform about our risk communication plan and receive more information about </w:t>
            </w:r>
            <w:r w:rsidR="0095087B" w:rsidRPr="008D6063">
              <w:rPr>
                <w:noProof/>
                <w:sz w:val="18"/>
                <w:szCs w:val="18"/>
              </w:rPr>
              <w:t>strategy</w:t>
            </w:r>
            <w:r w:rsidR="00530B39" w:rsidRPr="008D6063">
              <w:rPr>
                <w:noProof/>
                <w:sz w:val="18"/>
                <w:szCs w:val="18"/>
              </w:rPr>
              <w:t xml:space="preserve"> </w:t>
            </w:r>
            <w:r w:rsidR="0095087B" w:rsidRPr="008D6063">
              <w:rPr>
                <w:noProof/>
                <w:sz w:val="18"/>
                <w:szCs w:val="18"/>
              </w:rPr>
              <w:t>drafting</w:t>
            </w:r>
            <w:r w:rsidR="00530B39" w:rsidRPr="008D6063">
              <w:rPr>
                <w:noProof/>
                <w:sz w:val="18"/>
                <w:szCs w:val="18"/>
              </w:rPr>
              <w:t xml:space="preserve"> process. The project, through global expertise of CARE and long-term experience of GMG could also contribute with its focus on women and girls and gender-specific concerns in risk communication materials.</w:t>
            </w:r>
          </w:p>
          <w:p w14:paraId="39B9370B" w14:textId="77777777" w:rsidR="0095087B" w:rsidRPr="008D6063" w:rsidRDefault="0095087B" w:rsidP="008046AC">
            <w:pPr>
              <w:rPr>
                <w:noProof/>
                <w:sz w:val="18"/>
                <w:szCs w:val="18"/>
              </w:rPr>
            </w:pPr>
          </w:p>
        </w:tc>
        <w:tc>
          <w:tcPr>
            <w:tcW w:w="761" w:type="dxa"/>
            <w:vAlign w:val="center"/>
          </w:tcPr>
          <w:p w14:paraId="11816B37" w14:textId="77777777" w:rsidR="00AB0279" w:rsidRPr="008D6063" w:rsidRDefault="003E69EE" w:rsidP="00BB607B">
            <w:pPr>
              <w:jc w:val="center"/>
              <w:rPr>
                <w:b/>
                <w:bCs/>
                <w:noProof/>
                <w:sz w:val="20"/>
                <w:szCs w:val="20"/>
              </w:rPr>
            </w:pPr>
            <w:r w:rsidRPr="008D6063">
              <w:rPr>
                <w:b/>
                <w:bCs/>
                <w:noProof/>
                <w:sz w:val="20"/>
                <w:szCs w:val="20"/>
              </w:rPr>
              <w:t>77-80</w:t>
            </w:r>
          </w:p>
        </w:tc>
      </w:tr>
      <w:tr w:rsidR="00AB0279" w:rsidRPr="008D6063" w14:paraId="5C6242A0" w14:textId="77777777" w:rsidTr="00475485">
        <w:trPr>
          <w:jc w:val="center"/>
        </w:trPr>
        <w:tc>
          <w:tcPr>
            <w:tcW w:w="1417" w:type="dxa"/>
            <w:vAlign w:val="center"/>
          </w:tcPr>
          <w:p w14:paraId="2F802EA1" w14:textId="77777777" w:rsidR="00AB0279" w:rsidRPr="008D6063" w:rsidRDefault="00530B39" w:rsidP="003E69EE">
            <w:pPr>
              <w:jc w:val="center"/>
              <w:rPr>
                <w:b/>
                <w:bCs/>
                <w:noProof/>
                <w:sz w:val="20"/>
                <w:szCs w:val="20"/>
              </w:rPr>
            </w:pPr>
            <w:r w:rsidRPr="008D6063">
              <w:rPr>
                <w:b/>
                <w:bCs/>
                <w:noProof/>
                <w:sz w:val="20"/>
                <w:szCs w:val="20"/>
              </w:rPr>
              <w:t>UNDP</w:t>
            </w:r>
          </w:p>
        </w:tc>
        <w:tc>
          <w:tcPr>
            <w:tcW w:w="3888" w:type="dxa"/>
            <w:vAlign w:val="center"/>
          </w:tcPr>
          <w:p w14:paraId="6389B472" w14:textId="77777777" w:rsidR="0095087B" w:rsidRPr="008D6063" w:rsidRDefault="0095087B" w:rsidP="008046AC">
            <w:pPr>
              <w:rPr>
                <w:noProof/>
                <w:sz w:val="18"/>
                <w:szCs w:val="18"/>
              </w:rPr>
            </w:pPr>
          </w:p>
          <w:p w14:paraId="34DC7113" w14:textId="77777777" w:rsidR="00AB0279" w:rsidRPr="008D6063" w:rsidRDefault="00530B39" w:rsidP="00B718DF">
            <w:pPr>
              <w:jc w:val="both"/>
              <w:rPr>
                <w:noProof/>
                <w:sz w:val="18"/>
                <w:szCs w:val="18"/>
              </w:rPr>
            </w:pPr>
            <w:r w:rsidRPr="008D6063">
              <w:rPr>
                <w:noProof/>
                <w:sz w:val="18"/>
                <w:szCs w:val="18"/>
              </w:rPr>
              <w:t>UNDP is launching an initiative to provide the TA to the Ministry with the objective to enhance the organizational structure and governance capacity of state medical institutions to deliver quality services to citizens, through elaboration of the organizational development strategy of Georgia Medical Holding (GMH) and the establishment of a clinical quality assurance (CQA) mechanism for case management of patients.</w:t>
            </w:r>
          </w:p>
          <w:p w14:paraId="07EAC2D1" w14:textId="77777777" w:rsidR="0095087B" w:rsidRPr="008D6063" w:rsidRDefault="0095087B" w:rsidP="008046AC">
            <w:pPr>
              <w:rPr>
                <w:noProof/>
                <w:sz w:val="18"/>
                <w:szCs w:val="18"/>
              </w:rPr>
            </w:pPr>
          </w:p>
        </w:tc>
        <w:tc>
          <w:tcPr>
            <w:tcW w:w="6930" w:type="dxa"/>
            <w:vAlign w:val="center"/>
          </w:tcPr>
          <w:p w14:paraId="54408864" w14:textId="1C87F707" w:rsidR="00AB0279" w:rsidRPr="008D6063" w:rsidRDefault="00530B39" w:rsidP="00B718DF">
            <w:pPr>
              <w:jc w:val="both"/>
              <w:rPr>
                <w:noProof/>
                <w:sz w:val="18"/>
                <w:szCs w:val="18"/>
              </w:rPr>
            </w:pPr>
            <w:r w:rsidRPr="008D6063">
              <w:rPr>
                <w:noProof/>
                <w:sz w:val="18"/>
                <w:szCs w:val="18"/>
              </w:rPr>
              <w:t xml:space="preserve">The proposed project </w:t>
            </w:r>
            <w:r w:rsidR="002E34BE" w:rsidRPr="008D6063">
              <w:rPr>
                <w:noProof/>
                <w:sz w:val="18"/>
                <w:szCs w:val="18"/>
              </w:rPr>
              <w:t>will increase and extend the</w:t>
            </w:r>
            <w:r w:rsidR="00F82CAD" w:rsidRPr="008D6063">
              <w:rPr>
                <w:noProof/>
                <w:sz w:val="18"/>
                <w:szCs w:val="18"/>
              </w:rPr>
              <w:t xml:space="preserve"> existing</w:t>
            </w:r>
            <w:r w:rsidRPr="008D6063">
              <w:rPr>
                <w:noProof/>
                <w:sz w:val="18"/>
                <w:szCs w:val="18"/>
              </w:rPr>
              <w:t xml:space="preserve"> capacity-building activities for primary healthcare centers by increasing their awareness and ability in risk communication and community engagement. Depending on timeline and coverage of the activities listed in the </w:t>
            </w:r>
            <w:r w:rsidR="0095087B" w:rsidRPr="008D6063">
              <w:rPr>
                <w:noProof/>
                <w:sz w:val="18"/>
                <w:szCs w:val="18"/>
              </w:rPr>
              <w:t>document</w:t>
            </w:r>
            <w:r w:rsidRPr="008D6063">
              <w:rPr>
                <w:noProof/>
                <w:sz w:val="18"/>
                <w:szCs w:val="18"/>
              </w:rPr>
              <w:t>, the project could make synergy or contribute to better preparedness of the primary healthcare centers with regards to communication and spreading correct information and messages with their catchment population.</w:t>
            </w:r>
          </w:p>
        </w:tc>
        <w:tc>
          <w:tcPr>
            <w:tcW w:w="761" w:type="dxa"/>
            <w:vAlign w:val="center"/>
          </w:tcPr>
          <w:p w14:paraId="4ABD5492" w14:textId="77777777" w:rsidR="00AB0279" w:rsidRPr="008D6063" w:rsidRDefault="003E69EE" w:rsidP="00BB607B">
            <w:pPr>
              <w:jc w:val="center"/>
              <w:rPr>
                <w:b/>
                <w:bCs/>
                <w:noProof/>
                <w:sz w:val="20"/>
                <w:szCs w:val="20"/>
              </w:rPr>
            </w:pPr>
            <w:r w:rsidRPr="008D6063">
              <w:rPr>
                <w:b/>
                <w:bCs/>
                <w:noProof/>
                <w:sz w:val="20"/>
                <w:szCs w:val="20"/>
              </w:rPr>
              <w:t>81-82</w:t>
            </w:r>
          </w:p>
        </w:tc>
      </w:tr>
    </w:tbl>
    <w:p w14:paraId="40A2C8F2" w14:textId="77777777" w:rsidR="007248B0" w:rsidRPr="008D6063" w:rsidRDefault="007248B0">
      <w:pPr>
        <w:rPr>
          <w:noProof/>
        </w:rPr>
      </w:pPr>
    </w:p>
    <w:sectPr w:rsidR="007248B0" w:rsidRPr="008D6063" w:rsidSect="00475485">
      <w:headerReference w:type="default" r:id="rId9"/>
      <w:pgSz w:w="15840" w:h="12240" w:orient="landscape"/>
      <w:pgMar w:top="1620" w:right="1417" w:bottom="1417" w:left="1417" w:header="720" w:footer="1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B6628" w14:textId="77777777" w:rsidR="00A17D25" w:rsidRDefault="00A17D25" w:rsidP="0095087B">
      <w:pPr>
        <w:spacing w:after="0" w:line="240" w:lineRule="auto"/>
      </w:pPr>
      <w:r>
        <w:separator/>
      </w:r>
    </w:p>
  </w:endnote>
  <w:endnote w:type="continuationSeparator" w:id="0">
    <w:p w14:paraId="1C2B653D" w14:textId="77777777" w:rsidR="00A17D25" w:rsidRDefault="00A17D25" w:rsidP="0095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0C122" w14:textId="77777777" w:rsidR="00A17D25" w:rsidRDefault="00A17D25" w:rsidP="0095087B">
      <w:pPr>
        <w:spacing w:after="0" w:line="240" w:lineRule="auto"/>
      </w:pPr>
      <w:r>
        <w:separator/>
      </w:r>
    </w:p>
  </w:footnote>
  <w:footnote w:type="continuationSeparator" w:id="0">
    <w:p w14:paraId="2A490B4A" w14:textId="77777777" w:rsidR="00A17D25" w:rsidRDefault="00A17D25" w:rsidP="00950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56841" w14:textId="298C7A69" w:rsidR="00CE16E2" w:rsidRDefault="00CE16E2">
    <w:pPr>
      <w:pStyle w:val="Zhlav"/>
    </w:pPr>
    <w:r>
      <w:rPr>
        <w:noProof/>
      </w:rPr>
      <w:drawing>
        <wp:anchor distT="0" distB="0" distL="114300" distR="114300" simplePos="0" relativeHeight="251658240" behindDoc="1" locked="0" layoutInCell="1" allowOverlap="1" wp14:anchorId="2588B592" wp14:editId="5338B5B1">
          <wp:simplePos x="0" y="0"/>
          <wp:positionH relativeFrom="margin">
            <wp:posOffset>7482205</wp:posOffset>
          </wp:positionH>
          <wp:positionV relativeFrom="paragraph">
            <wp:posOffset>-320040</wp:posOffset>
          </wp:positionV>
          <wp:extent cx="754380" cy="754380"/>
          <wp:effectExtent l="0" t="0" r="7620" b="7620"/>
          <wp:wrapTight wrapText="bothSides">
            <wp:wrapPolygon edited="0">
              <wp:start x="0" y="0"/>
              <wp:lineTo x="0" y="21273"/>
              <wp:lineTo x="21273" y="21273"/>
              <wp:lineTo x="21273" y="0"/>
              <wp:lineTo x="0" y="0"/>
            </wp:wrapPolygon>
          </wp:wrapTight>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6AC"/>
    <w:rsid w:val="00035134"/>
    <w:rsid w:val="00044116"/>
    <w:rsid w:val="00046136"/>
    <w:rsid w:val="00127C6F"/>
    <w:rsid w:val="00161FE8"/>
    <w:rsid w:val="0017433A"/>
    <w:rsid w:val="00186172"/>
    <w:rsid w:val="002306CD"/>
    <w:rsid w:val="002C57D7"/>
    <w:rsid w:val="002E34BE"/>
    <w:rsid w:val="003B37C8"/>
    <w:rsid w:val="003E69EE"/>
    <w:rsid w:val="00402000"/>
    <w:rsid w:val="004720B0"/>
    <w:rsid w:val="00475485"/>
    <w:rsid w:val="004E7867"/>
    <w:rsid w:val="00530B39"/>
    <w:rsid w:val="00585A1D"/>
    <w:rsid w:val="005A79CA"/>
    <w:rsid w:val="005C404F"/>
    <w:rsid w:val="005E739D"/>
    <w:rsid w:val="0061397F"/>
    <w:rsid w:val="0062450B"/>
    <w:rsid w:val="006439E6"/>
    <w:rsid w:val="007248B0"/>
    <w:rsid w:val="0078150D"/>
    <w:rsid w:val="008046AC"/>
    <w:rsid w:val="00832F10"/>
    <w:rsid w:val="008D6063"/>
    <w:rsid w:val="008F31BD"/>
    <w:rsid w:val="00936B4C"/>
    <w:rsid w:val="0095087B"/>
    <w:rsid w:val="009C0BE4"/>
    <w:rsid w:val="009C2EA3"/>
    <w:rsid w:val="009F1693"/>
    <w:rsid w:val="00A17D25"/>
    <w:rsid w:val="00AA011B"/>
    <w:rsid w:val="00AB0279"/>
    <w:rsid w:val="00AB60D5"/>
    <w:rsid w:val="00B01391"/>
    <w:rsid w:val="00B069AD"/>
    <w:rsid w:val="00B205F9"/>
    <w:rsid w:val="00B718DF"/>
    <w:rsid w:val="00BA113F"/>
    <w:rsid w:val="00BB607B"/>
    <w:rsid w:val="00C85FA3"/>
    <w:rsid w:val="00CE16E2"/>
    <w:rsid w:val="00DC5C20"/>
    <w:rsid w:val="00EA40D6"/>
    <w:rsid w:val="00EB3E5B"/>
    <w:rsid w:val="00F82CAD"/>
    <w:rsid w:val="00FA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D15D6"/>
  <w15:chartTrackingRefBased/>
  <w15:docId w15:val="{060279A9-2DC8-4CF8-A541-DFF12460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80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5087B"/>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95087B"/>
  </w:style>
  <w:style w:type="paragraph" w:styleId="Zpat">
    <w:name w:val="footer"/>
    <w:basedOn w:val="Normln"/>
    <w:link w:val="ZpatChar"/>
    <w:uiPriority w:val="99"/>
    <w:unhideWhenUsed/>
    <w:rsid w:val="0095087B"/>
    <w:pPr>
      <w:tabs>
        <w:tab w:val="center" w:pos="4703"/>
        <w:tab w:val="right" w:pos="9406"/>
      </w:tabs>
      <w:spacing w:after="0" w:line="240" w:lineRule="auto"/>
    </w:pPr>
  </w:style>
  <w:style w:type="character" w:customStyle="1" w:styleId="ZpatChar">
    <w:name w:val="Zápatí Char"/>
    <w:basedOn w:val="Standardnpsmoodstavce"/>
    <w:link w:val="Zpat"/>
    <w:uiPriority w:val="99"/>
    <w:rsid w:val="0095087B"/>
  </w:style>
  <w:style w:type="character" w:styleId="Odkaznakoment">
    <w:name w:val="annotation reference"/>
    <w:basedOn w:val="Standardnpsmoodstavce"/>
    <w:uiPriority w:val="99"/>
    <w:semiHidden/>
    <w:unhideWhenUsed/>
    <w:rsid w:val="00044116"/>
    <w:rPr>
      <w:sz w:val="16"/>
      <w:szCs w:val="16"/>
    </w:rPr>
  </w:style>
  <w:style w:type="paragraph" w:styleId="Textkomente">
    <w:name w:val="annotation text"/>
    <w:basedOn w:val="Normln"/>
    <w:link w:val="TextkomenteChar"/>
    <w:uiPriority w:val="99"/>
    <w:semiHidden/>
    <w:unhideWhenUsed/>
    <w:rsid w:val="00044116"/>
    <w:pPr>
      <w:spacing w:line="240" w:lineRule="auto"/>
    </w:pPr>
    <w:rPr>
      <w:sz w:val="20"/>
      <w:szCs w:val="20"/>
    </w:rPr>
  </w:style>
  <w:style w:type="character" w:customStyle="1" w:styleId="TextkomenteChar">
    <w:name w:val="Text komentáře Char"/>
    <w:basedOn w:val="Standardnpsmoodstavce"/>
    <w:link w:val="Textkomente"/>
    <w:uiPriority w:val="99"/>
    <w:semiHidden/>
    <w:rsid w:val="00044116"/>
    <w:rPr>
      <w:sz w:val="20"/>
      <w:szCs w:val="20"/>
    </w:rPr>
  </w:style>
  <w:style w:type="paragraph" w:styleId="Pedmtkomente">
    <w:name w:val="annotation subject"/>
    <w:basedOn w:val="Textkomente"/>
    <w:next w:val="Textkomente"/>
    <w:link w:val="PedmtkomenteChar"/>
    <w:uiPriority w:val="99"/>
    <w:semiHidden/>
    <w:unhideWhenUsed/>
    <w:rsid w:val="00044116"/>
    <w:rPr>
      <w:b/>
      <w:bCs/>
    </w:rPr>
  </w:style>
  <w:style w:type="character" w:customStyle="1" w:styleId="PedmtkomenteChar">
    <w:name w:val="Předmět komentáře Char"/>
    <w:basedOn w:val="TextkomenteChar"/>
    <w:link w:val="Pedmtkomente"/>
    <w:uiPriority w:val="99"/>
    <w:semiHidden/>
    <w:rsid w:val="00044116"/>
    <w:rPr>
      <w:b/>
      <w:bCs/>
      <w:sz w:val="20"/>
      <w:szCs w:val="20"/>
    </w:rPr>
  </w:style>
  <w:style w:type="paragraph" w:styleId="Textbubliny">
    <w:name w:val="Balloon Text"/>
    <w:basedOn w:val="Normln"/>
    <w:link w:val="TextbublinyChar"/>
    <w:uiPriority w:val="99"/>
    <w:semiHidden/>
    <w:unhideWhenUsed/>
    <w:rsid w:val="0004411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41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5C8950C07A83C4FB8A12209B3F6F14A" ma:contentTypeVersion="12" ma:contentTypeDescription="Vytvoří nový dokument" ma:contentTypeScope="" ma:versionID="7994983d6c55854d2fa2e0eb3bd394b6">
  <xsd:schema xmlns:xsd="http://www.w3.org/2001/XMLSchema" xmlns:xs="http://www.w3.org/2001/XMLSchema" xmlns:p="http://schemas.microsoft.com/office/2006/metadata/properties" xmlns:ns2="378b2bb2-ba71-445f-a112-e3c8da616914" xmlns:ns3="232d8ddf-fb43-4880-9f1d-5f0093a0c2dd" targetNamespace="http://schemas.microsoft.com/office/2006/metadata/properties" ma:root="true" ma:fieldsID="6a089e60ccace048f9ab9ff059cadcd2" ns2:_="" ns3:_="">
    <xsd:import namespace="378b2bb2-ba71-445f-a112-e3c8da616914"/>
    <xsd:import namespace="232d8ddf-fb43-4880-9f1d-5f0093a0c2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b2bb2-ba71-445f-a112-e3c8da616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2d8ddf-fb43-4880-9f1d-5f0093a0c2d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26F84-6C8D-4505-BC01-20D474377C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9AA89D-4D68-483D-AAEB-6D5DFFFD9F6E}">
  <ds:schemaRefs>
    <ds:schemaRef ds:uri="http://schemas.microsoft.com/sharepoint/v3/contenttype/forms"/>
  </ds:schemaRefs>
</ds:datastoreItem>
</file>

<file path=customXml/itemProps3.xml><?xml version="1.0" encoding="utf-8"?>
<ds:datastoreItem xmlns:ds="http://schemas.openxmlformats.org/officeDocument/2006/customXml" ds:itemID="{D578355D-864F-4254-BA72-0943D3D44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b2bb2-ba71-445f-a112-e3c8da616914"/>
    <ds:schemaRef ds:uri="232d8ddf-fb43-4880-9f1d-5f0093a0c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941</Words>
  <Characters>5369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Zaatari</dc:creator>
  <cp:keywords/>
  <dc:description/>
  <cp:lastModifiedBy>OCST</cp:lastModifiedBy>
  <cp:revision>2</cp:revision>
  <dcterms:created xsi:type="dcterms:W3CDTF">2020-06-10T05:51:00Z</dcterms:created>
  <dcterms:modified xsi:type="dcterms:W3CDTF">2020-06-10T05:51:00Z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0x010100A5C8950C07A83C4FB8A12209B3F6F14A</vt:lpwstr>
  </property>
</Properties>
</file>